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CE7" w:rsidRDefault="00F76CE7" w:rsidP="003113D8">
      <w:pPr>
        <w:spacing w:after="0"/>
        <w:rPr>
          <w:rFonts w:cs="Times New Roman"/>
          <w:szCs w:val="24"/>
        </w:rPr>
      </w:pPr>
    </w:p>
    <w:p w:rsidR="00F76CE7" w:rsidRDefault="00F76CE7" w:rsidP="003113D8">
      <w:pPr>
        <w:spacing w:after="0"/>
        <w:rPr>
          <w:rFonts w:cs="Times New Roman"/>
          <w:szCs w:val="24"/>
        </w:rPr>
      </w:pPr>
    </w:p>
    <w:p w:rsidR="00B100BA" w:rsidRDefault="00B100BA" w:rsidP="003113D8">
      <w:pPr>
        <w:spacing w:after="0"/>
        <w:rPr>
          <w:rFonts w:cs="Times New Roman"/>
          <w:szCs w:val="24"/>
        </w:rPr>
      </w:pPr>
    </w:p>
    <w:p w:rsidR="00B100BA" w:rsidRDefault="00B100BA" w:rsidP="003113D8">
      <w:pPr>
        <w:spacing w:after="0"/>
        <w:rPr>
          <w:rFonts w:cs="Times New Roman"/>
          <w:szCs w:val="24"/>
        </w:rPr>
      </w:pPr>
    </w:p>
    <w:p w:rsidR="00B100BA" w:rsidRDefault="00B100BA" w:rsidP="003113D8">
      <w:pPr>
        <w:spacing w:after="0"/>
        <w:rPr>
          <w:rFonts w:cs="Times New Roman"/>
          <w:szCs w:val="24"/>
        </w:rPr>
      </w:pPr>
    </w:p>
    <w:p w:rsidR="00B100BA" w:rsidRDefault="00B100BA" w:rsidP="003113D8">
      <w:pPr>
        <w:spacing w:after="0"/>
        <w:rPr>
          <w:rFonts w:cs="Times New Roman"/>
          <w:szCs w:val="24"/>
        </w:rPr>
      </w:pPr>
      <w:bookmarkStart w:id="0" w:name="_GoBack"/>
      <w:bookmarkEnd w:id="0"/>
    </w:p>
    <w:p w:rsidR="00F76CE7" w:rsidRDefault="00F76CE7" w:rsidP="003113D8">
      <w:pPr>
        <w:spacing w:after="0"/>
        <w:rPr>
          <w:rFonts w:cs="Times New Roman"/>
          <w:szCs w:val="24"/>
        </w:rPr>
      </w:pPr>
    </w:p>
    <w:p w:rsidR="00F76CE7" w:rsidRDefault="00F76CE7" w:rsidP="003113D8">
      <w:pPr>
        <w:spacing w:after="0"/>
        <w:rPr>
          <w:rFonts w:cs="Times New Roman"/>
          <w:szCs w:val="24"/>
        </w:rPr>
      </w:pPr>
    </w:p>
    <w:p w:rsidR="00F76CE7" w:rsidRDefault="00F76CE7" w:rsidP="003113D8">
      <w:pPr>
        <w:spacing w:after="0"/>
        <w:rPr>
          <w:rFonts w:cs="Times New Roman"/>
          <w:szCs w:val="24"/>
        </w:rPr>
      </w:pPr>
    </w:p>
    <w:p w:rsidR="00F76CE7" w:rsidRDefault="00F76CE7" w:rsidP="003113D8">
      <w:pPr>
        <w:spacing w:after="0"/>
        <w:jc w:val="center"/>
        <w:rPr>
          <w:rFonts w:cs="Times New Roman"/>
          <w:szCs w:val="24"/>
        </w:rPr>
      </w:pPr>
      <w:r>
        <w:rPr>
          <w:rFonts w:cs="Times New Roman"/>
          <w:szCs w:val="24"/>
        </w:rPr>
        <w:t>Shaping Capitalism</w:t>
      </w:r>
    </w:p>
    <w:p w:rsidR="00F76CE7" w:rsidRDefault="00F76CE7" w:rsidP="003113D8">
      <w:pPr>
        <w:spacing w:after="0"/>
        <w:jc w:val="center"/>
        <w:rPr>
          <w:rFonts w:cs="Times New Roman"/>
          <w:szCs w:val="24"/>
        </w:rPr>
      </w:pPr>
      <w:r>
        <w:rPr>
          <w:rFonts w:cs="Times New Roman"/>
          <w:szCs w:val="24"/>
        </w:rPr>
        <w:t>Name of Student</w:t>
      </w:r>
    </w:p>
    <w:p w:rsidR="00F76CE7" w:rsidRDefault="00F76CE7" w:rsidP="003113D8">
      <w:pPr>
        <w:spacing w:after="0"/>
        <w:jc w:val="center"/>
        <w:rPr>
          <w:rFonts w:cs="Times New Roman"/>
          <w:szCs w:val="24"/>
        </w:rPr>
      </w:pPr>
      <w:r>
        <w:rPr>
          <w:rFonts w:cs="Times New Roman"/>
          <w:szCs w:val="24"/>
        </w:rPr>
        <w:t>Name of Institution</w:t>
      </w:r>
    </w:p>
    <w:p w:rsidR="00F76CE7" w:rsidRDefault="00F76CE7" w:rsidP="003113D8">
      <w:pPr>
        <w:spacing w:after="0"/>
        <w:jc w:val="center"/>
        <w:rPr>
          <w:rFonts w:cs="Times New Roman"/>
          <w:szCs w:val="24"/>
        </w:rPr>
      </w:pPr>
      <w:r>
        <w:rPr>
          <w:rFonts w:cs="Times New Roman"/>
          <w:szCs w:val="24"/>
        </w:rPr>
        <w:t>Date</w:t>
      </w:r>
      <w:r>
        <w:rPr>
          <w:rFonts w:cs="Times New Roman"/>
          <w:szCs w:val="24"/>
        </w:rPr>
        <w:br w:type="page"/>
      </w:r>
    </w:p>
    <w:p w:rsidR="003113D8" w:rsidRDefault="003113D8" w:rsidP="003113D8">
      <w:pPr>
        <w:spacing w:after="0"/>
        <w:jc w:val="center"/>
        <w:rPr>
          <w:rFonts w:cs="Times New Roman"/>
          <w:szCs w:val="24"/>
        </w:rPr>
      </w:pPr>
      <w:r>
        <w:rPr>
          <w:rFonts w:cs="Times New Roman"/>
          <w:szCs w:val="24"/>
        </w:rPr>
        <w:lastRenderedPageBreak/>
        <w:t>Shaping Capitalism</w:t>
      </w:r>
    </w:p>
    <w:p w:rsidR="00F76CE7" w:rsidRDefault="00F76CE7" w:rsidP="003113D8">
      <w:pPr>
        <w:spacing w:after="0"/>
        <w:ind w:firstLine="720"/>
        <w:jc w:val="both"/>
        <w:rPr>
          <w:rFonts w:cs="Times New Roman"/>
          <w:szCs w:val="24"/>
        </w:rPr>
      </w:pPr>
      <w:r w:rsidRPr="00F76CE7">
        <w:rPr>
          <w:rFonts w:cs="Times New Roman"/>
          <w:szCs w:val="24"/>
        </w:rPr>
        <w:t xml:space="preserve">Dr. Lester </w:t>
      </w:r>
      <w:proofErr w:type="spellStart"/>
      <w:r w:rsidRPr="00F76CE7">
        <w:rPr>
          <w:rFonts w:cs="Times New Roman"/>
          <w:szCs w:val="24"/>
        </w:rPr>
        <w:t>Thurow</w:t>
      </w:r>
      <w:proofErr w:type="spellEnd"/>
      <w:r w:rsidRPr="00F76CE7">
        <w:rPr>
          <w:rFonts w:cs="Times New Roman"/>
          <w:szCs w:val="24"/>
        </w:rPr>
        <w:t xml:space="preserve"> addressed a luncheon of the national press club where he spoke of capitalism. He begins with hypothetical questions meant to highlight how great economies and significant national economic proposals at the time are not currently growing with consideration to inflation. Dr. Lester applies two notions from physics; the plate tectonics (9:20) and punctuated equilibrium (10:02) from a biologist, to explain economics. Dr. </w:t>
      </w:r>
      <w:proofErr w:type="spellStart"/>
      <w:r w:rsidRPr="00F76CE7">
        <w:rPr>
          <w:rFonts w:cs="Times New Roman"/>
          <w:szCs w:val="24"/>
        </w:rPr>
        <w:t>Thurow</w:t>
      </w:r>
      <w:proofErr w:type="spellEnd"/>
      <w:r w:rsidRPr="00F76CE7">
        <w:rPr>
          <w:rFonts w:cs="Times New Roman"/>
          <w:szCs w:val="24"/>
        </w:rPr>
        <w:t xml:space="preserve"> associates the unseen forces that have critical impacts on the nature of national and global capitalism. </w:t>
      </w:r>
    </w:p>
    <w:p w:rsidR="00F76CE7" w:rsidRPr="00F76CE7" w:rsidRDefault="00F76CE7" w:rsidP="003113D8">
      <w:pPr>
        <w:spacing w:after="0"/>
        <w:ind w:firstLine="720"/>
        <w:jc w:val="both"/>
        <w:rPr>
          <w:rFonts w:cs="Times New Roman"/>
          <w:szCs w:val="24"/>
        </w:rPr>
      </w:pPr>
      <w:r w:rsidRPr="00F76CE7">
        <w:rPr>
          <w:rFonts w:cs="Times New Roman"/>
          <w:szCs w:val="24"/>
        </w:rPr>
        <w:t>The end of communism is one of the five factors affecting change. Such that everyone moving from the communist era into the capitalist regime is bound to impact a difference in the latter. The communist community can be applauded for a great educational system that provides better qualified and highly motivated workforce than the capitalist, and are a considerable contributor to shaping the wages (16:15). The end of communism provides larger unexhausted wells of oil, more massive than the Saudi Arabia gulf. Another significant influence is the new era marked by industries shifting from natural resourc</w:t>
      </w:r>
      <w:r>
        <w:rPr>
          <w:rFonts w:cs="Times New Roman"/>
          <w:szCs w:val="24"/>
        </w:rPr>
        <w:t>e base to brainpower industries, not restricted by location</w:t>
      </w:r>
      <w:r w:rsidRPr="00F76CE7">
        <w:rPr>
          <w:rFonts w:cs="Times New Roman"/>
          <w:szCs w:val="24"/>
        </w:rPr>
        <w:t xml:space="preserve">. </w:t>
      </w:r>
    </w:p>
    <w:p w:rsidR="00F76CE7" w:rsidRPr="00F76CE7" w:rsidRDefault="00F76CE7" w:rsidP="003113D8">
      <w:pPr>
        <w:spacing w:after="0"/>
        <w:ind w:firstLine="720"/>
        <w:jc w:val="both"/>
        <w:rPr>
          <w:rFonts w:cs="Times New Roman"/>
          <w:szCs w:val="24"/>
        </w:rPr>
      </w:pPr>
      <w:r w:rsidRPr="00F76CE7">
        <w:rPr>
          <w:rFonts w:cs="Times New Roman"/>
          <w:szCs w:val="24"/>
        </w:rPr>
        <w:t xml:space="preserve">The demographical factors are influencing the growth of capitalism and economies. Migration currently is towards the vibrant economies from poor ones, by candidates who are energetic but uneducated and unskilled (20:41). The standards of living in rich economies are a prime motivator of these moves. The elderly population is increasing at a higher rate, creating the necessity for economies to fund their upkeep with very high ratios of the national budget. This budget consideration is effectively dominating budgets reducing chances of funds generating improvement which mark the growth of economies. The projected demographics indicate the population will grow by 50% and out of this, 70% will be born in economies with meager daily </w:t>
      </w:r>
      <w:r w:rsidRPr="00F76CE7">
        <w:rPr>
          <w:rFonts w:cs="Times New Roman"/>
          <w:szCs w:val="24"/>
        </w:rPr>
        <w:lastRenderedPageBreak/>
        <w:t xml:space="preserve">wage rate. The last tectonic force is the lack of a dominant political and military regime that defines the capitalist economy. Intellectual property rights are meant to safeguard the production costs of a company, but different systems have contrasting concepts of what these rights entail, and can market your product below your production costs. Lack of a dominant regime ensures that the intellectual rights cannot be adopted globally and every administration can adopt policies preferable to them. </w:t>
      </w:r>
    </w:p>
    <w:p w:rsidR="00F76CE7" w:rsidRPr="00F76CE7" w:rsidRDefault="00F76CE7" w:rsidP="003113D8">
      <w:pPr>
        <w:spacing w:after="0"/>
        <w:ind w:firstLine="720"/>
        <w:jc w:val="both"/>
        <w:rPr>
          <w:rFonts w:cs="Times New Roman"/>
          <w:szCs w:val="24"/>
        </w:rPr>
      </w:pPr>
      <w:r w:rsidRPr="00F76CE7">
        <w:rPr>
          <w:rFonts w:cs="Times New Roman"/>
          <w:szCs w:val="24"/>
        </w:rPr>
        <w:t xml:space="preserve">The five tectonic forces influence in economies is resulting in a standardized wage count on a global scale; prosperous economies are lowering their wages, and weak economies are increasing their income. The end of communism has also created an arena where business leaders and decisions are the primary beneficiaries, whereby they can enforce their own rules without opposition leading to a monopoly. The regimes are also fighting inflation tactically by ensuring a drop in wages. A resulting increase in the per capita GMP and a decline in wages create a funding system shifting income benefits to the top 20% in regimes, and the elderly (31:50). The </w:t>
      </w:r>
      <w:r>
        <w:rPr>
          <w:rFonts w:cs="Times New Roman"/>
          <w:szCs w:val="24"/>
        </w:rPr>
        <w:t>elderly dominate the market since youth have no</w:t>
      </w:r>
      <w:r w:rsidRPr="00F76CE7">
        <w:rPr>
          <w:rFonts w:cs="Times New Roman"/>
          <w:szCs w:val="24"/>
        </w:rPr>
        <w:t xml:space="preserve"> prospects and no money. </w:t>
      </w:r>
    </w:p>
    <w:p w:rsidR="00F76CE7" w:rsidRPr="00F76CE7" w:rsidRDefault="00F76CE7" w:rsidP="003113D8">
      <w:pPr>
        <w:spacing w:after="0"/>
        <w:ind w:firstLine="720"/>
        <w:jc w:val="both"/>
        <w:rPr>
          <w:rFonts w:cs="Times New Roman"/>
          <w:szCs w:val="24"/>
        </w:rPr>
      </w:pPr>
      <w:r w:rsidRPr="00F76CE7">
        <w:rPr>
          <w:rFonts w:cs="Times New Roman"/>
          <w:szCs w:val="24"/>
        </w:rPr>
        <w:t xml:space="preserve">The most significant economies in the world, say the Roman Empire, thrived because they did not believe in equality. Democracy, however, pushes the debate for equality back when it provided safety nets for those who were qualified but the system did not see their need. The same group is, however, altering the safety nets which are creating a regime of inequality thus propagating a looming threat of the end of democracy. The brain powered industry is limiting the reach for capitalist by motivation innovation. The capitalist regime is forced by the war against inflation to show no loyalty to the workforce, and therefore the highly skilled workforce does the same and adopts new brain powered industries to rival the capitalist economy. The resulting unbalanced economy benefits the lucky, persistent and those filled with a vision of what to achieve. </w:t>
      </w:r>
      <w:r w:rsidRPr="00F76CE7">
        <w:rPr>
          <w:rFonts w:cs="Times New Roman"/>
          <w:szCs w:val="24"/>
        </w:rPr>
        <w:lastRenderedPageBreak/>
        <w:t>The adaptability of persons within the economic setup highlights the high chances of losses against benefits which Lester marks as great optimists and pessimist.</w:t>
      </w:r>
    </w:p>
    <w:p w:rsidR="00F76CE7" w:rsidRPr="00F76CE7" w:rsidRDefault="00F76CE7" w:rsidP="003113D8">
      <w:pPr>
        <w:spacing w:after="0"/>
        <w:ind w:firstLine="720"/>
        <w:jc w:val="both"/>
        <w:rPr>
          <w:rFonts w:cs="Times New Roman"/>
          <w:szCs w:val="24"/>
        </w:rPr>
      </w:pPr>
      <w:r w:rsidRPr="00F76CE7">
        <w:rPr>
          <w:rFonts w:cs="Times New Roman"/>
          <w:szCs w:val="24"/>
        </w:rPr>
        <w:t>Modern economy and capitalist regimes are highly mandated and structured by the business leaders and the capitalist heads. The psychological conduct and frame of life of an employee can be traced as early as the coal-based industries. The regime in the era of the coal industry did not sponsor for well-being and life satisfaction. Furthermore, the business heads were in charge of critical decisions that affected the societal shape up and constituted of income of workers which generated a hardworking base of workers, but anxiety and depression culminated towards demoralizing them. The pride that workers associated with finding work and employment are a two-headed coin with the different experience of life at work summed up low wages for maximum efforts did not lead to an overly enthusiastic workforce (</w:t>
      </w:r>
      <w:proofErr w:type="spellStart"/>
      <w:r w:rsidRPr="00F76CE7">
        <w:rPr>
          <w:rFonts w:cs="Times New Roman"/>
          <w:szCs w:val="24"/>
        </w:rPr>
        <w:t>Obschonka</w:t>
      </w:r>
      <w:proofErr w:type="spellEnd"/>
      <w:r w:rsidRPr="00F76CE7">
        <w:rPr>
          <w:rFonts w:cs="Times New Roman"/>
          <w:szCs w:val="24"/>
        </w:rPr>
        <w:t xml:space="preserve">, et al., 2018). </w:t>
      </w:r>
    </w:p>
    <w:p w:rsidR="00F76CE7" w:rsidRPr="00F76CE7" w:rsidRDefault="00F76CE7" w:rsidP="003113D8">
      <w:pPr>
        <w:spacing w:after="0"/>
        <w:ind w:firstLine="720"/>
        <w:jc w:val="both"/>
        <w:rPr>
          <w:rFonts w:cs="Times New Roman"/>
          <w:szCs w:val="24"/>
        </w:rPr>
      </w:pPr>
      <w:r w:rsidRPr="00F76CE7">
        <w:rPr>
          <w:rFonts w:cs="Times New Roman"/>
          <w:szCs w:val="24"/>
        </w:rPr>
        <w:t xml:space="preserve">A similar scenario is experienced in the employment standards described by Dr. Lester, where he explains the power held by the business leadership to shape the economy, and the benefits they reap in terms of revenue as opposed the workforce. </w:t>
      </w:r>
      <w:proofErr w:type="spellStart"/>
      <w:r w:rsidRPr="00F76CE7">
        <w:rPr>
          <w:rFonts w:cs="Times New Roman"/>
          <w:szCs w:val="24"/>
        </w:rPr>
        <w:t>Obschonka</w:t>
      </w:r>
      <w:proofErr w:type="spellEnd"/>
      <w:r w:rsidRPr="00F76CE7">
        <w:rPr>
          <w:rFonts w:cs="Times New Roman"/>
          <w:szCs w:val="24"/>
        </w:rPr>
        <w:t xml:space="preserve"> and team also highlight the fact that selective migration and an economy characterized by persistent hardship are directly proportional (</w:t>
      </w:r>
      <w:proofErr w:type="spellStart"/>
      <w:r w:rsidRPr="00F76CE7">
        <w:rPr>
          <w:rFonts w:cs="Times New Roman"/>
          <w:szCs w:val="24"/>
        </w:rPr>
        <w:t>Obschonka</w:t>
      </w:r>
      <w:proofErr w:type="spellEnd"/>
      <w:r w:rsidRPr="00F76CE7">
        <w:rPr>
          <w:rFonts w:cs="Times New Roman"/>
          <w:szCs w:val="24"/>
        </w:rPr>
        <w:t xml:space="preserve">, et al., 2018). The same situation is expressed by Dr. </w:t>
      </w:r>
      <w:proofErr w:type="spellStart"/>
      <w:r w:rsidRPr="00F76CE7">
        <w:rPr>
          <w:rFonts w:cs="Times New Roman"/>
          <w:szCs w:val="24"/>
        </w:rPr>
        <w:t>Thurow</w:t>
      </w:r>
      <w:proofErr w:type="spellEnd"/>
      <w:r w:rsidRPr="00F76CE7">
        <w:rPr>
          <w:rFonts w:cs="Times New Roman"/>
          <w:szCs w:val="24"/>
        </w:rPr>
        <w:t xml:space="preserve"> when he demonstrates the effects of migration into vibrant economies to benefit from their better standards of leaving creating an average wage standard by lowering the income rate. </w:t>
      </w:r>
    </w:p>
    <w:p w:rsidR="00F76CE7" w:rsidRPr="00F76CE7" w:rsidRDefault="00F76CE7" w:rsidP="003113D8">
      <w:pPr>
        <w:spacing w:after="0"/>
        <w:ind w:firstLine="720"/>
        <w:jc w:val="both"/>
        <w:rPr>
          <w:rFonts w:cs="Times New Roman"/>
          <w:szCs w:val="24"/>
        </w:rPr>
      </w:pPr>
      <w:r w:rsidRPr="00F76CE7">
        <w:rPr>
          <w:rFonts w:cs="Times New Roman"/>
          <w:szCs w:val="24"/>
        </w:rPr>
        <w:t>The powers of political and institutional aspects of socialization are significant in shaping up the economy. The two elements are crucial in mandating laws in the democratic economy that substitute any inequality initiatives, despite the two structures being at the forefront of sponsoring such regimes (</w:t>
      </w:r>
      <w:proofErr w:type="spellStart"/>
      <w:r w:rsidRPr="00F76CE7">
        <w:rPr>
          <w:rFonts w:cs="Times New Roman"/>
          <w:szCs w:val="24"/>
        </w:rPr>
        <w:t>Acemoglu</w:t>
      </w:r>
      <w:proofErr w:type="spellEnd"/>
      <w:r w:rsidRPr="00F76CE7">
        <w:rPr>
          <w:rFonts w:cs="Times New Roman"/>
          <w:szCs w:val="24"/>
        </w:rPr>
        <w:t xml:space="preserve"> &amp; Robinson, 2015). Political influences in inequality regimes stem from the fact of controlling inflation at all costs, including a marked reduction of income to the workers </w:t>
      </w:r>
      <w:r w:rsidRPr="00F76CE7">
        <w:rPr>
          <w:rFonts w:cs="Times New Roman"/>
          <w:szCs w:val="24"/>
        </w:rPr>
        <w:lastRenderedPageBreak/>
        <w:t>but a significant increase in the rate of income for top employees and executives. The makeup of the political and institutional aspects within a regime describes the effect demography and technological aspects will influence the economy (</w:t>
      </w:r>
      <w:proofErr w:type="spellStart"/>
      <w:r w:rsidRPr="00F76CE7">
        <w:rPr>
          <w:rFonts w:cs="Times New Roman"/>
          <w:szCs w:val="24"/>
        </w:rPr>
        <w:t>Acemoglu</w:t>
      </w:r>
      <w:proofErr w:type="spellEnd"/>
      <w:r w:rsidRPr="00F76CE7">
        <w:rPr>
          <w:rFonts w:cs="Times New Roman"/>
          <w:szCs w:val="24"/>
        </w:rPr>
        <w:t xml:space="preserve"> &amp; Robinson, 2015). In Lester's case technology appears to have unlimited access to the capital market, but the political scene is usurping the demography and migration to create an increased per capita GMP to effectively stimulate the presence and influence of the 20% and the elderly.</w:t>
      </w:r>
    </w:p>
    <w:p w:rsidR="00F76CE7" w:rsidRPr="00F76CE7" w:rsidRDefault="00F76CE7" w:rsidP="003113D8">
      <w:pPr>
        <w:spacing w:after="0"/>
        <w:ind w:firstLine="720"/>
        <w:jc w:val="both"/>
        <w:rPr>
          <w:rFonts w:cs="Times New Roman"/>
          <w:szCs w:val="24"/>
        </w:rPr>
      </w:pPr>
      <w:r w:rsidRPr="00F76CE7">
        <w:rPr>
          <w:rFonts w:cs="Times New Roman"/>
          <w:szCs w:val="24"/>
        </w:rPr>
        <w:t>The elderly population has rights and freedoms, and their dominance in the population scheme influences regimes to prioritize their significance as a vital resource (Diana, 2012). The life course perspective of the elderly shapes policies within systems to prioritize the rights, preference, capacities, and needs for seniors, which drives down the rate of income for the average worker. In situations where you substitute the funding set aside for the elderly and project a distribution funding to the poor, the states and standards of living improve for a higher percentage of the workforce (Diana, 2012). However, the elderly forms a higher proportion of the influential group in terms of policies and leadership which effectively prioritize them in regimes over the democratic descriptions of safety nets provided to the workforce.</w:t>
      </w:r>
    </w:p>
    <w:p w:rsidR="00572C7B" w:rsidRDefault="00F76CE7" w:rsidP="003113D8">
      <w:pPr>
        <w:spacing w:after="0"/>
        <w:ind w:firstLine="720"/>
        <w:jc w:val="both"/>
        <w:rPr>
          <w:rFonts w:cs="Times New Roman"/>
          <w:szCs w:val="24"/>
        </w:rPr>
      </w:pPr>
      <w:r w:rsidRPr="00F76CE7">
        <w:rPr>
          <w:rFonts w:cs="Times New Roman"/>
          <w:szCs w:val="24"/>
        </w:rPr>
        <w:t xml:space="preserve">Privatization programs are taking up most of the economies. The result of such a situation is a break of the capitalism regime since state bureaucratic policies are undermined and insufficient to drive a capitalist economy (Hamm, King, &amp; </w:t>
      </w:r>
      <w:proofErr w:type="spellStart"/>
      <w:r w:rsidRPr="00F76CE7">
        <w:rPr>
          <w:rFonts w:cs="Times New Roman"/>
          <w:szCs w:val="24"/>
        </w:rPr>
        <w:t>Stuckler</w:t>
      </w:r>
      <w:proofErr w:type="spellEnd"/>
      <w:r w:rsidRPr="00F76CE7">
        <w:rPr>
          <w:rFonts w:cs="Times New Roman"/>
          <w:szCs w:val="24"/>
        </w:rPr>
        <w:t>, 2012). Such consequences highlight the impact of brain-powered economies usurping the role of natural resources in the shaping and growth of the economy.</w:t>
      </w:r>
    </w:p>
    <w:p w:rsidR="00572C7B" w:rsidRDefault="00572C7B">
      <w:pPr>
        <w:rPr>
          <w:rFonts w:cs="Times New Roman"/>
          <w:szCs w:val="24"/>
        </w:rPr>
      </w:pPr>
      <w:r>
        <w:rPr>
          <w:rFonts w:cs="Times New Roman"/>
          <w:szCs w:val="24"/>
        </w:rPr>
        <w:br w:type="page"/>
      </w:r>
    </w:p>
    <w:sdt>
      <w:sdtPr>
        <w:rPr>
          <w:rFonts w:ascii="Times New Roman" w:eastAsiaTheme="minorHAnsi" w:hAnsi="Times New Roman" w:cstheme="minorBidi"/>
          <w:b w:val="0"/>
          <w:bCs w:val="0"/>
          <w:color w:val="auto"/>
          <w:sz w:val="24"/>
          <w:szCs w:val="22"/>
          <w:lang w:eastAsia="en-US"/>
        </w:rPr>
        <w:id w:val="1508258827"/>
        <w:docPartObj>
          <w:docPartGallery w:val="Bibliographies"/>
          <w:docPartUnique/>
        </w:docPartObj>
      </w:sdtPr>
      <w:sdtEndPr/>
      <w:sdtContent>
        <w:p w:rsidR="00F76CE7" w:rsidRPr="00F76CE7" w:rsidRDefault="00F76CE7" w:rsidP="003113D8">
          <w:pPr>
            <w:pStyle w:val="Heading1"/>
            <w:spacing w:before="0" w:line="480" w:lineRule="auto"/>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F76CE7" w:rsidRDefault="00F76CE7" w:rsidP="003113D8">
              <w:pPr>
                <w:pStyle w:val="Bibliography"/>
                <w:spacing w:after="0"/>
                <w:ind w:left="720" w:hanging="720"/>
                <w:rPr>
                  <w:noProof/>
                </w:rPr>
              </w:pPr>
              <w:r>
                <w:fldChar w:fldCharType="begin"/>
              </w:r>
              <w:r>
                <w:instrText xml:space="preserve"> BIBLIOGRAPHY </w:instrText>
              </w:r>
              <w:r>
                <w:fldChar w:fldCharType="separate"/>
              </w:r>
              <w:r>
                <w:rPr>
                  <w:noProof/>
                </w:rPr>
                <w:t xml:space="preserve">Acemoglu, D., &amp; Robinson, J. A. (2015). The rise and decline of general laws of capitalism. </w:t>
              </w:r>
              <w:r>
                <w:rPr>
                  <w:i/>
                  <w:iCs/>
                  <w:noProof/>
                </w:rPr>
                <w:t>Journal of Economic Perspectives, 29</w:t>
              </w:r>
              <w:r>
                <w:rPr>
                  <w:noProof/>
                </w:rPr>
                <w:t>(1), 3-28.</w:t>
              </w:r>
            </w:p>
            <w:p w:rsidR="00F76CE7" w:rsidRDefault="00F76CE7" w:rsidP="003113D8">
              <w:pPr>
                <w:pStyle w:val="Bibliography"/>
                <w:spacing w:after="0"/>
                <w:ind w:left="720" w:hanging="720"/>
                <w:rPr>
                  <w:noProof/>
                </w:rPr>
              </w:pPr>
              <w:r>
                <w:rPr>
                  <w:noProof/>
                </w:rPr>
                <w:t xml:space="preserve">Diana, C. (2012). "Reconstructing the elderly: a critical analysis of pensions and population policies in an era of demographic ageing.". </w:t>
              </w:r>
              <w:r>
                <w:rPr>
                  <w:i/>
                  <w:iCs/>
                  <w:noProof/>
                </w:rPr>
                <w:t>Contemporary political theory, 11</w:t>
              </w:r>
              <w:r>
                <w:rPr>
                  <w:noProof/>
                </w:rPr>
                <w:t>(1), 41-67.</w:t>
              </w:r>
            </w:p>
            <w:p w:rsidR="00F76CE7" w:rsidRDefault="00F76CE7" w:rsidP="003113D8">
              <w:pPr>
                <w:pStyle w:val="Bibliography"/>
                <w:spacing w:after="0"/>
                <w:ind w:left="720" w:hanging="720"/>
                <w:rPr>
                  <w:noProof/>
                </w:rPr>
              </w:pPr>
              <w:r>
                <w:rPr>
                  <w:noProof/>
                </w:rPr>
                <w:t xml:space="preserve">Hamm, P., King, L. P., &amp; Stuckler, D. (2012). "Mass privatization, state capacity, and economic growth in post-communist countries." . </w:t>
              </w:r>
              <w:r>
                <w:rPr>
                  <w:i/>
                  <w:iCs/>
                  <w:noProof/>
                </w:rPr>
                <w:t>American Sociological Review, 77</w:t>
              </w:r>
              <w:r>
                <w:rPr>
                  <w:noProof/>
                </w:rPr>
                <w:t>(2), 295-324. doi:https://doi.org/10.1177/0003122412441354</w:t>
              </w:r>
            </w:p>
            <w:p w:rsidR="00F76CE7" w:rsidRDefault="00F76CE7" w:rsidP="003113D8">
              <w:pPr>
                <w:pStyle w:val="Bibliography"/>
                <w:spacing w:after="0"/>
                <w:ind w:left="720" w:hanging="720"/>
                <w:rPr>
                  <w:noProof/>
                </w:rPr>
              </w:pPr>
              <w:r>
                <w:rPr>
                  <w:noProof/>
                </w:rPr>
                <w:t xml:space="preserve">Obschonka, M., Stuetzer, M., Rentfrow, P. J., Shaw-Taylor, L., Satchell, M., Silbereisen, R. K., . . . Gosling, S. D. (2018). "In the shadow of coal: How large-scale industries contributed to present-day regional differences in personality and well-being." . </w:t>
              </w:r>
              <w:r>
                <w:rPr>
                  <w:i/>
                  <w:iCs/>
                  <w:noProof/>
                </w:rPr>
                <w:t>Journal of personality and social psychology, 115</w:t>
              </w:r>
              <w:r>
                <w:rPr>
                  <w:noProof/>
                </w:rPr>
                <w:t>(5), 903. doi:http://dx.doi.org/10.1037/pspp0000175</w:t>
              </w:r>
            </w:p>
            <w:p w:rsidR="00F76CE7" w:rsidRDefault="00F76CE7" w:rsidP="003113D8">
              <w:pPr>
                <w:spacing w:after="0"/>
              </w:pPr>
              <w:r>
                <w:rPr>
                  <w:b/>
                  <w:bCs/>
                  <w:noProof/>
                </w:rPr>
                <w:fldChar w:fldCharType="end"/>
              </w:r>
            </w:p>
          </w:sdtContent>
        </w:sdt>
      </w:sdtContent>
    </w:sdt>
    <w:p w:rsidR="002E2317" w:rsidRPr="00F76CE7" w:rsidRDefault="002E2317" w:rsidP="003113D8">
      <w:pPr>
        <w:spacing w:after="0"/>
        <w:ind w:firstLine="720"/>
      </w:pPr>
    </w:p>
    <w:sectPr w:rsidR="002E2317" w:rsidRPr="00F76CE7" w:rsidSect="00E70330">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7E33" w:rsidRDefault="001A7E33" w:rsidP="00E70330">
      <w:pPr>
        <w:spacing w:after="0" w:line="240" w:lineRule="auto"/>
      </w:pPr>
      <w:r>
        <w:separator/>
      </w:r>
    </w:p>
  </w:endnote>
  <w:endnote w:type="continuationSeparator" w:id="0">
    <w:p w:rsidR="001A7E33" w:rsidRDefault="001A7E33" w:rsidP="00E70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7E33" w:rsidRDefault="001A7E33" w:rsidP="00E70330">
      <w:pPr>
        <w:spacing w:after="0" w:line="240" w:lineRule="auto"/>
      </w:pPr>
      <w:r>
        <w:separator/>
      </w:r>
    </w:p>
  </w:footnote>
  <w:footnote w:type="continuationSeparator" w:id="0">
    <w:p w:rsidR="001A7E33" w:rsidRDefault="001A7E33" w:rsidP="00E703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330" w:rsidRDefault="00E70330">
    <w:pPr>
      <w:pStyle w:val="Header"/>
      <w:jc w:val="right"/>
    </w:pPr>
    <w:r>
      <w:t>SHAPING CAPITALISM</w:t>
    </w:r>
    <w:r>
      <w:tab/>
    </w:r>
    <w:r>
      <w:tab/>
    </w:r>
    <w:sdt>
      <w:sdtPr>
        <w:id w:val="69447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100BA">
          <w:rPr>
            <w:noProof/>
          </w:rPr>
          <w:t>2</w:t>
        </w:r>
        <w:r>
          <w:rPr>
            <w:noProof/>
          </w:rPr>
          <w:fldChar w:fldCharType="end"/>
        </w:r>
      </w:sdtContent>
    </w:sdt>
  </w:p>
  <w:p w:rsidR="00E70330" w:rsidRDefault="00E7033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CE7" w:rsidRDefault="00F76CE7">
    <w:pPr>
      <w:pStyle w:val="Header"/>
      <w:jc w:val="right"/>
    </w:pPr>
    <w:r>
      <w:t>Running Head: SHAPING CAPITALISIM</w:t>
    </w:r>
    <w:r>
      <w:tab/>
    </w:r>
    <w:r>
      <w:tab/>
    </w:r>
    <w:sdt>
      <w:sdtPr>
        <w:id w:val="-3218898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100BA">
          <w:rPr>
            <w:noProof/>
          </w:rPr>
          <w:t>1</w:t>
        </w:r>
        <w:r>
          <w:rPr>
            <w:noProof/>
          </w:rPr>
          <w:fldChar w:fldCharType="end"/>
        </w:r>
      </w:sdtContent>
    </w:sdt>
  </w:p>
  <w:p w:rsidR="00F76CE7" w:rsidRDefault="00F76C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4D7"/>
    <w:rsid w:val="000872A5"/>
    <w:rsid w:val="001A7E33"/>
    <w:rsid w:val="002E2317"/>
    <w:rsid w:val="002E763F"/>
    <w:rsid w:val="003113D8"/>
    <w:rsid w:val="00424014"/>
    <w:rsid w:val="00513C96"/>
    <w:rsid w:val="00557118"/>
    <w:rsid w:val="00572C7B"/>
    <w:rsid w:val="005935E7"/>
    <w:rsid w:val="005A3E5A"/>
    <w:rsid w:val="005F2E61"/>
    <w:rsid w:val="006E6D27"/>
    <w:rsid w:val="006F492E"/>
    <w:rsid w:val="008437F0"/>
    <w:rsid w:val="008E5ABD"/>
    <w:rsid w:val="009024D7"/>
    <w:rsid w:val="009245F0"/>
    <w:rsid w:val="00B100BA"/>
    <w:rsid w:val="00B2721C"/>
    <w:rsid w:val="00CC481F"/>
    <w:rsid w:val="00E70330"/>
    <w:rsid w:val="00F11114"/>
    <w:rsid w:val="00F75CBB"/>
    <w:rsid w:val="00F76CE7"/>
    <w:rsid w:val="00FE7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B5D7A"/>
  <w15:docId w15:val="{52EC2420-93B7-4C0F-B628-9C7B56A98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76CE7"/>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den-full-transcript-text">
    <w:name w:val="hidden-full-transcript-text"/>
    <w:basedOn w:val="DefaultParagraphFont"/>
    <w:rsid w:val="005A3E5A"/>
  </w:style>
  <w:style w:type="paragraph" w:customStyle="1" w:styleId="Default">
    <w:name w:val="Default"/>
    <w:rsid w:val="00FE753F"/>
    <w:pPr>
      <w:autoSpaceDE w:val="0"/>
      <w:autoSpaceDN w:val="0"/>
      <w:adjustRightInd w:val="0"/>
      <w:spacing w:after="0" w:line="240" w:lineRule="auto"/>
    </w:pPr>
    <w:rPr>
      <w:rFonts w:cs="Times New Roman"/>
      <w:color w:val="000000"/>
      <w:szCs w:val="24"/>
    </w:rPr>
  </w:style>
  <w:style w:type="paragraph" w:styleId="BalloonText">
    <w:name w:val="Balloon Text"/>
    <w:basedOn w:val="Normal"/>
    <w:link w:val="BalloonTextChar"/>
    <w:uiPriority w:val="99"/>
    <w:semiHidden/>
    <w:unhideWhenUsed/>
    <w:rsid w:val="005F2E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2E61"/>
    <w:rPr>
      <w:rFonts w:ascii="Tahoma" w:hAnsi="Tahoma" w:cs="Tahoma"/>
      <w:sz w:val="16"/>
      <w:szCs w:val="16"/>
    </w:rPr>
  </w:style>
  <w:style w:type="paragraph" w:styleId="Header">
    <w:name w:val="header"/>
    <w:basedOn w:val="Normal"/>
    <w:link w:val="HeaderChar"/>
    <w:uiPriority w:val="99"/>
    <w:unhideWhenUsed/>
    <w:rsid w:val="00E703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330"/>
  </w:style>
  <w:style w:type="paragraph" w:styleId="Footer">
    <w:name w:val="footer"/>
    <w:basedOn w:val="Normal"/>
    <w:link w:val="FooterChar"/>
    <w:uiPriority w:val="99"/>
    <w:unhideWhenUsed/>
    <w:rsid w:val="00E703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330"/>
  </w:style>
  <w:style w:type="character" w:customStyle="1" w:styleId="Heading1Char">
    <w:name w:val="Heading 1 Char"/>
    <w:basedOn w:val="DefaultParagraphFont"/>
    <w:link w:val="Heading1"/>
    <w:uiPriority w:val="9"/>
    <w:rsid w:val="00F76CE7"/>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F76C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Ham12</b:Tag>
    <b:SourceType>JournalArticle</b:SourceType>
    <b:Guid>{164B9F09-E4BA-43A3-92F4-2B0D148D96FB}</b:Guid>
    <b:Title>"Mass privatization, state capacity, and economic growth in post-communist countries." </b:Title>
    <b:JournalName>American Sociological Review</b:JournalName>
    <b:Year>2012</b:Year>
    <b:Pages>295-324</b:Pages>
    <b:Volume>77</b:Volume>
    <b:Issue>2</b:Issue>
    <b:DOI>https://doi.org/10.1177/0003122412441354</b:DOI>
    <b:Author>
      <b:Author>
        <b:NameList>
          <b:Person>
            <b:Last>Hamm</b:Last>
            <b:First>Patrick</b:First>
          </b:Person>
          <b:Person>
            <b:Last>King</b:Last>
            <b:Middle>P.</b:Middle>
            <b:First>Lawrence</b:First>
          </b:Person>
          <b:Person>
            <b:Last>Stuckler</b:Last>
            <b:First>David</b:First>
          </b:Person>
        </b:NameList>
      </b:Author>
    </b:Author>
    <b:RefOrder>1</b:RefOrder>
  </b:Source>
  <b:Source>
    <b:Tag>Dia12</b:Tag>
    <b:SourceType>JournalArticle</b:SourceType>
    <b:Guid>{80A884D4-1D32-4861-B1A6-42A665E87FEF}</b:Guid>
    <b:Title>"Reconstructing the elderly: a critical analysis of pensions and population policies in an era of demographic ageing."</b:Title>
    <b:JournalName>Contemporary political theory</b:JournalName>
    <b:Year>2012</b:Year>
    <b:Pages>41-67</b:Pages>
    <b:Author>
      <b:Author>
        <b:NameList>
          <b:Person>
            <b:Last>Diana</b:Last>
            <b:First>Coole</b:First>
          </b:Person>
        </b:NameList>
      </b:Author>
    </b:Author>
    <b:Volume>11</b:Volume>
    <b:Issue>1</b:Issue>
    <b:RefOrder>2</b:RefOrder>
  </b:Source>
  <b:Source>
    <b:Tag>Ace15</b:Tag>
    <b:SourceType>JournalArticle</b:SourceType>
    <b:Guid>{B2B6A10B-3EC1-49BC-A010-D76E9A188424}</b:Guid>
    <b:Title>The rise and decline of general laws of capitalism.</b:Title>
    <b:JournalName>Journal of Economic Perspectives</b:JournalName>
    <b:Year>2015</b:Year>
    <b:Pages>3-28</b:Pages>
    <b:Author>
      <b:Author>
        <b:NameList>
          <b:Person>
            <b:Last>Acemoglu</b:Last>
            <b:First>Daron</b:First>
          </b:Person>
          <b:Person>
            <b:Last>Robinson</b:Last>
            <b:Middle>A.</b:Middle>
            <b:First>James</b:First>
          </b:Person>
        </b:NameList>
      </b:Author>
    </b:Author>
    <b:Volume>29</b:Volume>
    <b:Issue>1</b:Issue>
    <b:RefOrder>3</b:RefOrder>
  </b:Source>
  <b:Source>
    <b:Tag>Obs18</b:Tag>
    <b:SourceType>JournalArticle</b:SourceType>
    <b:Guid>{D2880484-69FE-4A6B-9EF8-FE58458C0384}</b:Guid>
    <b:Title> "In the shadow of coal: How large-scale industries contributed to present-day regional differences in personality and well-being." </b:Title>
    <b:JournalName>Journal of personality and social psychology</b:JournalName>
    <b:Year>2018</b:Year>
    <b:Pages>903</b:Pages>
    <b:Volume>115</b:Volume>
    <b:Issue>5</b:Issue>
    <b:DOI>http://dx.doi.org/10.1037/pspp0000175</b:DOI>
    <b:Author>
      <b:Author>
        <b:NameList>
          <b:Person>
            <b:Last>Obschonka</b:Last>
            <b:First>Martin</b:First>
          </b:Person>
          <b:Person>
            <b:Last>Stuetzer</b:Last>
            <b:First>Micheal</b:First>
          </b:Person>
          <b:Person>
            <b:Last>Rentfrow</b:Last>
            <b:Middle>J.</b:Middle>
            <b:First>Peter</b:First>
          </b:Person>
          <b:Person>
            <b:Last>Shaw-Taylor</b:Last>
            <b:First>Leigh</b:First>
          </b:Person>
          <b:Person>
            <b:Last>Satchell</b:Last>
            <b:First>Max</b:First>
          </b:Person>
          <b:Person>
            <b:Last>Silbereisen</b:Last>
            <b:Middle>K.</b:Middle>
            <b:First>Rainer</b:First>
          </b:Person>
          <b:Person>
            <b:Last>Potter</b:Last>
            <b:First>Jeff</b:First>
          </b:Person>
          <b:Person>
            <b:Last>Gosling</b:Last>
            <b:Middle>D.</b:Middle>
            <b:First>Samuel</b:First>
          </b:Person>
        </b:NameList>
      </b:Author>
    </b:Author>
    <b:RefOrder>4</b:RefOrder>
  </b:Source>
</b:Sources>
</file>

<file path=customXml/itemProps1.xml><?xml version="1.0" encoding="utf-8"?>
<ds:datastoreItem xmlns:ds="http://schemas.openxmlformats.org/officeDocument/2006/customXml" ds:itemID="{E7C6AD08-0A0A-4286-B25B-1770F7206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1340</Words>
  <Characters>7644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cp:lastPrinted>2019-04-19T12:39:00Z</cp:lastPrinted>
  <dcterms:created xsi:type="dcterms:W3CDTF">2019-04-20T00:28:00Z</dcterms:created>
  <dcterms:modified xsi:type="dcterms:W3CDTF">2019-04-20T00:35:00Z</dcterms:modified>
</cp:coreProperties>
</file>